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699F5" w14:textId="77777777" w:rsidR="00DC05E0" w:rsidRDefault="00DC05E0" w:rsidP="00DC05E0">
      <w:pPr>
        <w:spacing w:before="92" w:after="240" w:line="276" w:lineRule="auto"/>
        <w:ind w:right="49"/>
        <w:jc w:val="center"/>
        <w:rPr>
          <w:rFonts w:ascii="Segoe UI" w:eastAsia="Segoe UI" w:hAnsi="Segoe UI" w:cs="Segoe UI"/>
          <w:b/>
          <w:bCs/>
          <w:color w:val="000000" w:themeColor="text1"/>
          <w:sz w:val="28"/>
          <w:szCs w:val="28"/>
          <w:lang w:val="es-ES"/>
        </w:rPr>
      </w:pPr>
    </w:p>
    <w:p w14:paraId="659F3644" w14:textId="7A8D3B3D" w:rsidR="00DC05E0" w:rsidRPr="00824FC8" w:rsidRDefault="00DC05E0" w:rsidP="00DC05E0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  <w:sz w:val="28"/>
          <w:szCs w:val="28"/>
        </w:rPr>
      </w:pPr>
      <w:r w:rsidRPr="00824FC8">
        <w:rPr>
          <w:rFonts w:eastAsia="Segoe UI" w:cs="Segoe UI"/>
          <w:b/>
          <w:bCs/>
          <w:color w:val="000000" w:themeColor="text1"/>
          <w:sz w:val="28"/>
          <w:szCs w:val="28"/>
          <w:lang w:val="es-ES"/>
        </w:rPr>
        <w:t>ANEXO H</w:t>
      </w:r>
    </w:p>
    <w:p w14:paraId="27F1B369" w14:textId="77777777" w:rsidR="00DC05E0" w:rsidRPr="00824FC8" w:rsidRDefault="00DC05E0" w:rsidP="00DC05E0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</w:rPr>
      </w:pPr>
    </w:p>
    <w:p w14:paraId="7E7C7B6A" w14:textId="77777777" w:rsidR="00DC05E0" w:rsidRPr="00824FC8" w:rsidRDefault="00DC05E0" w:rsidP="00DC05E0">
      <w:pPr>
        <w:jc w:val="center"/>
        <w:rPr>
          <w:rFonts w:cs="Arial"/>
          <w:sz w:val="20"/>
          <w:szCs w:val="20"/>
        </w:rPr>
      </w:pPr>
      <w:r w:rsidRPr="00824FC8">
        <w:rPr>
          <w:rFonts w:eastAsia="Segoe UI" w:cs="Segoe UI"/>
          <w:b/>
          <w:bCs/>
          <w:color w:val="000000" w:themeColor="text1"/>
        </w:rPr>
        <w:t>DEFINICIONES</w:t>
      </w:r>
    </w:p>
    <w:p w14:paraId="08977B29" w14:textId="77777777" w:rsidR="00DC05E0" w:rsidRPr="00824FC8" w:rsidRDefault="00DC05E0" w:rsidP="00DC05E0">
      <w:pPr>
        <w:jc w:val="center"/>
      </w:pPr>
    </w:p>
    <w:p w14:paraId="365C8BDE" w14:textId="77777777" w:rsidR="00DC05E0" w:rsidRDefault="00DC05E0" w:rsidP="00DC05E0">
      <w:pPr>
        <w:jc w:val="both"/>
        <w:rPr>
          <w:rFonts w:ascii="Arial" w:hAnsi="Arial" w:cs="Arial"/>
          <w:sz w:val="20"/>
          <w:szCs w:val="20"/>
        </w:rPr>
      </w:pPr>
      <w:r>
        <w:br/>
      </w:r>
      <w:r w:rsidRPr="1305D242">
        <w:rPr>
          <w:rFonts w:ascii="Arial" w:hAnsi="Arial" w:cs="Arial"/>
          <w:sz w:val="20"/>
          <w:szCs w:val="20"/>
        </w:rPr>
        <w:t>APC: (</w:t>
      </w:r>
      <w:proofErr w:type="spellStart"/>
      <w:r w:rsidRPr="1305D242">
        <w:rPr>
          <w:rFonts w:ascii="Arial" w:hAnsi="Arial" w:cs="Arial"/>
          <w:i/>
          <w:iCs/>
          <w:sz w:val="20"/>
          <w:szCs w:val="20"/>
        </w:rPr>
        <w:t>Article</w:t>
      </w:r>
      <w:proofErr w:type="spellEnd"/>
      <w:r w:rsidRPr="1305D242">
        <w:rPr>
          <w:rFonts w:ascii="Arial" w:hAnsi="Arial" w:cs="Arial"/>
          <w:i/>
          <w:iCs/>
          <w:sz w:val="20"/>
          <w:szCs w:val="20"/>
        </w:rPr>
        <w:t xml:space="preserve"> Processing </w:t>
      </w:r>
      <w:proofErr w:type="spellStart"/>
      <w:r w:rsidRPr="1305D242">
        <w:rPr>
          <w:rFonts w:ascii="Arial" w:hAnsi="Arial" w:cs="Arial"/>
          <w:i/>
          <w:iCs/>
          <w:sz w:val="20"/>
          <w:szCs w:val="20"/>
        </w:rPr>
        <w:t>Charge</w:t>
      </w:r>
      <w:proofErr w:type="spellEnd"/>
      <w:r w:rsidRPr="1305D242">
        <w:rPr>
          <w:rFonts w:ascii="Arial" w:hAnsi="Arial" w:cs="Arial"/>
          <w:sz w:val="20"/>
          <w:szCs w:val="20"/>
        </w:rPr>
        <w:t>) Cargo por procesamiento de artículo, corresponde al monto cobrado por una revista para cubrir los costos editoriales asociados a la publicación de un artículo, especialmente en modalidad de acceso abierto.</w:t>
      </w:r>
    </w:p>
    <w:p w14:paraId="176E916D" w14:textId="77777777" w:rsidR="00DC05E0" w:rsidRDefault="00DC05E0" w:rsidP="00DC05E0">
      <w:pPr>
        <w:jc w:val="both"/>
        <w:rPr>
          <w:rFonts w:ascii="Arial" w:hAnsi="Arial" w:cs="Arial"/>
          <w:sz w:val="20"/>
          <w:szCs w:val="20"/>
        </w:rPr>
      </w:pPr>
      <w:r w:rsidRPr="1F130CF7">
        <w:rPr>
          <w:rFonts w:ascii="Arial" w:hAnsi="Arial" w:cs="Arial"/>
          <w:sz w:val="20"/>
          <w:szCs w:val="20"/>
        </w:rPr>
        <w:t>Artículo científico inédito: Manuscrito original que presenta resultados, análisis o contribuciones científicas no publicados previamente, y que no se encuentra simultáneamente sometido a evaluación en otra revista u otro medio de publicación.</w:t>
      </w:r>
    </w:p>
    <w:p w14:paraId="07CDCAE8" w14:textId="77777777" w:rsidR="00DC05E0" w:rsidRDefault="00DC05E0" w:rsidP="00DC05E0">
      <w:pPr>
        <w:jc w:val="both"/>
        <w:rPr>
          <w:rFonts w:ascii="Arial" w:hAnsi="Arial" w:cs="Arial"/>
          <w:sz w:val="20"/>
          <w:szCs w:val="20"/>
        </w:rPr>
      </w:pPr>
      <w:r w:rsidRPr="1F130CF7">
        <w:rPr>
          <w:rFonts w:ascii="Arial" w:hAnsi="Arial" w:cs="Arial"/>
          <w:sz w:val="20"/>
          <w:szCs w:val="20"/>
        </w:rPr>
        <w:t>Revistas depredadoras:</w:t>
      </w:r>
      <w:r>
        <w:t xml:space="preserve"> </w:t>
      </w:r>
      <w:r w:rsidRPr="1F130CF7">
        <w:rPr>
          <w:rFonts w:ascii="Arial" w:hAnsi="Arial" w:cs="Arial"/>
          <w:sz w:val="20"/>
          <w:szCs w:val="20"/>
        </w:rPr>
        <w:t>Revistas científicas que presentan prácticas editoriales cuestionables, tales como revisión por pares deficiente o inexistente, falta de transparencia en sus costos, promesas de publicación rápida, comités editoriales no verificables o procesos editoriales poco rigurosos.</w:t>
      </w:r>
    </w:p>
    <w:p w14:paraId="7CEDE49E" w14:textId="77777777" w:rsidR="00DC05E0" w:rsidRDefault="00DC05E0" w:rsidP="00DC05E0">
      <w:pPr>
        <w:jc w:val="both"/>
        <w:rPr>
          <w:rFonts w:ascii="Arial" w:hAnsi="Arial" w:cs="Arial"/>
          <w:sz w:val="20"/>
          <w:szCs w:val="20"/>
        </w:rPr>
      </w:pPr>
      <w:r w:rsidRPr="1F130CF7">
        <w:rPr>
          <w:rFonts w:ascii="Arial" w:hAnsi="Arial" w:cs="Arial"/>
          <w:sz w:val="20"/>
          <w:szCs w:val="20"/>
        </w:rPr>
        <w:t>WoS: (</w:t>
      </w:r>
      <w:r w:rsidRPr="1F130CF7">
        <w:rPr>
          <w:rFonts w:ascii="Arial" w:hAnsi="Arial" w:cs="Arial"/>
          <w:i/>
          <w:iCs/>
          <w:sz w:val="20"/>
          <w:szCs w:val="20"/>
        </w:rPr>
        <w:t xml:space="preserve">Web </w:t>
      </w:r>
      <w:proofErr w:type="spellStart"/>
      <w:r w:rsidRPr="1F130CF7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Pr="1F130CF7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1F130CF7">
        <w:rPr>
          <w:rFonts w:ascii="Arial" w:hAnsi="Arial" w:cs="Arial"/>
          <w:i/>
          <w:iCs/>
          <w:sz w:val="20"/>
          <w:szCs w:val="20"/>
        </w:rPr>
        <w:t>Science</w:t>
      </w:r>
      <w:proofErr w:type="spellEnd"/>
      <w:r w:rsidRPr="1F130CF7">
        <w:rPr>
          <w:rFonts w:ascii="Arial" w:hAnsi="Arial" w:cs="Arial"/>
          <w:sz w:val="20"/>
          <w:szCs w:val="20"/>
        </w:rPr>
        <w:t>) Base de datos internacional que indexa revistas científicas, libros y actas de congresos, y que permite consultar publicaciones, citas e indicadores bibliométricos asociados a la producción científica.</w:t>
      </w:r>
    </w:p>
    <w:p w14:paraId="4D688665" w14:textId="77777777" w:rsidR="00DC05E0" w:rsidRDefault="00DC05E0" w:rsidP="00DC05E0">
      <w:pPr>
        <w:jc w:val="both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hAnsi="Arial" w:cs="Arial"/>
          <w:sz w:val="20"/>
          <w:szCs w:val="20"/>
        </w:rPr>
        <w:t xml:space="preserve">Revistas WoS de excelencia (10% superior de la disciplina): Revistas científicas indexadas en WoS clasificadas en el 10% superior de cada disciplina. </w:t>
      </w:r>
    </w:p>
    <w:p w14:paraId="3DF8BA6A" w14:textId="77777777" w:rsidR="00DC05E0" w:rsidRDefault="00DC05E0" w:rsidP="00DC05E0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1F130CF7">
        <w:rPr>
          <w:rFonts w:ascii="Arial" w:eastAsia="Arial" w:hAnsi="Arial" w:cs="Arial"/>
          <w:sz w:val="20"/>
          <w:szCs w:val="20"/>
        </w:rPr>
        <w:t>Scopus</w:t>
      </w:r>
      <w:proofErr w:type="spellEnd"/>
      <w:r w:rsidRPr="1F130CF7">
        <w:rPr>
          <w:rFonts w:ascii="Arial" w:eastAsia="Arial" w:hAnsi="Arial" w:cs="Arial"/>
          <w:sz w:val="20"/>
          <w:szCs w:val="20"/>
        </w:rPr>
        <w:t>: Base de dato</w:t>
      </w:r>
      <w:r w:rsidRPr="1F130CF7">
        <w:rPr>
          <w:rFonts w:ascii="Arial" w:hAnsi="Arial" w:cs="Arial"/>
          <w:sz w:val="20"/>
          <w:szCs w:val="20"/>
        </w:rPr>
        <w:t>s internacional de literatura científica revisada por pares, que indexa revistas, libros y actas de congresos, y permite analizar publicaciones, citas, áreas disciplinares e indicadores de impacto científico.</w:t>
      </w:r>
    </w:p>
    <w:p w14:paraId="0A1459AA" w14:textId="77777777" w:rsidR="00DC05E0" w:rsidRDefault="00DC05E0" w:rsidP="00DC05E0">
      <w:pPr>
        <w:jc w:val="both"/>
        <w:rPr>
          <w:rFonts w:ascii="Arial" w:hAnsi="Arial" w:cs="Arial"/>
          <w:sz w:val="20"/>
          <w:szCs w:val="20"/>
        </w:rPr>
      </w:pPr>
      <w:r w:rsidRPr="1F130CF7">
        <w:rPr>
          <w:rFonts w:ascii="Arial" w:hAnsi="Arial" w:cs="Arial"/>
          <w:sz w:val="20"/>
          <w:szCs w:val="20"/>
        </w:rPr>
        <w:t>JCR: (</w:t>
      </w:r>
      <w:proofErr w:type="spellStart"/>
      <w:r w:rsidRPr="1F130CF7">
        <w:rPr>
          <w:rFonts w:ascii="Arial" w:hAnsi="Arial" w:cs="Arial"/>
          <w:i/>
          <w:iCs/>
          <w:sz w:val="20"/>
          <w:szCs w:val="20"/>
        </w:rPr>
        <w:t>Journal</w:t>
      </w:r>
      <w:proofErr w:type="spellEnd"/>
      <w:r w:rsidRPr="1F130CF7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1F130CF7">
        <w:rPr>
          <w:rFonts w:ascii="Arial" w:hAnsi="Arial" w:cs="Arial"/>
          <w:i/>
          <w:iCs/>
          <w:sz w:val="20"/>
          <w:szCs w:val="20"/>
        </w:rPr>
        <w:t>Citation</w:t>
      </w:r>
      <w:proofErr w:type="spellEnd"/>
      <w:r w:rsidRPr="1F130CF7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1F130CF7">
        <w:rPr>
          <w:rFonts w:ascii="Arial" w:hAnsi="Arial" w:cs="Arial"/>
          <w:i/>
          <w:iCs/>
          <w:sz w:val="20"/>
          <w:szCs w:val="20"/>
        </w:rPr>
        <w:t>Report</w:t>
      </w:r>
      <w:proofErr w:type="spellEnd"/>
      <w:r w:rsidRPr="1F130CF7">
        <w:rPr>
          <w:rFonts w:ascii="Arial" w:hAnsi="Arial" w:cs="Arial"/>
          <w:sz w:val="20"/>
          <w:szCs w:val="20"/>
        </w:rPr>
        <w:t xml:space="preserve">) Herramienta bibliométrica asociada a WoS que entrega indicadores de impacto de revistas científicas, incluyendo el </w:t>
      </w:r>
      <w:proofErr w:type="spellStart"/>
      <w:r w:rsidRPr="1F130CF7">
        <w:rPr>
          <w:rFonts w:ascii="Arial" w:hAnsi="Arial" w:cs="Arial"/>
          <w:i/>
          <w:iCs/>
          <w:sz w:val="20"/>
          <w:szCs w:val="20"/>
        </w:rPr>
        <w:t>Journal</w:t>
      </w:r>
      <w:proofErr w:type="spellEnd"/>
      <w:r w:rsidRPr="1F130CF7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1F130CF7">
        <w:rPr>
          <w:rFonts w:ascii="Arial" w:hAnsi="Arial" w:cs="Arial"/>
          <w:i/>
          <w:iCs/>
          <w:sz w:val="20"/>
          <w:szCs w:val="20"/>
        </w:rPr>
        <w:t>Impact</w:t>
      </w:r>
      <w:proofErr w:type="spellEnd"/>
      <w:r w:rsidRPr="1F130CF7">
        <w:rPr>
          <w:rFonts w:ascii="Arial" w:hAnsi="Arial" w:cs="Arial"/>
          <w:i/>
          <w:iCs/>
          <w:sz w:val="20"/>
          <w:szCs w:val="20"/>
        </w:rPr>
        <w:t xml:space="preserve"> Factor</w:t>
      </w:r>
      <w:r w:rsidRPr="1F130CF7">
        <w:rPr>
          <w:rFonts w:ascii="Arial" w:hAnsi="Arial" w:cs="Arial"/>
          <w:sz w:val="20"/>
          <w:szCs w:val="20"/>
        </w:rPr>
        <w:t xml:space="preserve"> y la clasificación por cuartiles, tales como Q1, Q2, Q3 y Q4.</w:t>
      </w:r>
    </w:p>
    <w:p w14:paraId="49C08A7A" w14:textId="77777777" w:rsidR="00DC05E0" w:rsidRDefault="00DC05E0" w:rsidP="00DC05E0">
      <w:pPr>
        <w:jc w:val="both"/>
        <w:rPr>
          <w:rFonts w:ascii="Arial" w:hAnsi="Arial" w:cs="Arial"/>
          <w:sz w:val="20"/>
          <w:szCs w:val="20"/>
        </w:rPr>
      </w:pPr>
    </w:p>
    <w:p w14:paraId="0818CC0C" w14:textId="77777777" w:rsidR="00C36516" w:rsidRDefault="00C36516"/>
    <w:sectPr w:rsidR="00C36516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47867" w14:textId="77777777" w:rsidR="00916DBD" w:rsidRDefault="00916DBD" w:rsidP="00DC05E0">
      <w:pPr>
        <w:spacing w:after="0" w:line="240" w:lineRule="auto"/>
      </w:pPr>
      <w:r>
        <w:separator/>
      </w:r>
    </w:p>
  </w:endnote>
  <w:endnote w:type="continuationSeparator" w:id="0">
    <w:p w14:paraId="7BB87A13" w14:textId="77777777" w:rsidR="00916DBD" w:rsidRDefault="00916DBD" w:rsidP="00DC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A5DD3" w14:textId="77777777" w:rsidR="00916DBD" w:rsidRDefault="00916DBD" w:rsidP="00DC05E0">
      <w:pPr>
        <w:spacing w:after="0" w:line="240" w:lineRule="auto"/>
      </w:pPr>
      <w:r>
        <w:separator/>
      </w:r>
    </w:p>
  </w:footnote>
  <w:footnote w:type="continuationSeparator" w:id="0">
    <w:p w14:paraId="589775B1" w14:textId="77777777" w:rsidR="00916DBD" w:rsidRDefault="00916DBD" w:rsidP="00DC0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DBCAE" w14:textId="1E8D6E02" w:rsidR="00DC05E0" w:rsidRDefault="00DC05E0">
    <w:pPr>
      <w:pStyle w:val="Encabezado"/>
    </w:pPr>
    <w:r>
      <w:rPr>
        <w:noProof/>
      </w:rPr>
      <w:drawing>
        <wp:inline distT="0" distB="0" distL="0" distR="0" wp14:anchorId="32C1FBE6" wp14:editId="56E970BC">
          <wp:extent cx="2676525" cy="552450"/>
          <wp:effectExtent l="0" t="0" r="0" b="0"/>
          <wp:docPr id="1333409900" name="drawing" title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3409900" name="Picture 13334099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652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E0"/>
    <w:rsid w:val="001C1111"/>
    <w:rsid w:val="004A5011"/>
    <w:rsid w:val="00824FC8"/>
    <w:rsid w:val="00916DBD"/>
    <w:rsid w:val="00C36516"/>
    <w:rsid w:val="00DC05E0"/>
    <w:rsid w:val="00E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19FCD"/>
  <w15:chartTrackingRefBased/>
  <w15:docId w15:val="{201D77A7-E6F5-473E-96A5-3B6C721F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5E0"/>
  </w:style>
  <w:style w:type="paragraph" w:styleId="Ttulo1">
    <w:name w:val="heading 1"/>
    <w:basedOn w:val="Normal"/>
    <w:next w:val="Normal"/>
    <w:link w:val="Ttulo1Car"/>
    <w:uiPriority w:val="9"/>
    <w:qFormat/>
    <w:rsid w:val="00DC05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C05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C05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C05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C05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C05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C05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C05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C05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C05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C05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05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C05E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C05E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C05E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C05E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C05E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C05E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C05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C0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C05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C0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C05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C05E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C05E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C05E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C05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C05E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C05E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C05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05E0"/>
  </w:style>
  <w:style w:type="paragraph" w:styleId="Piedepgina">
    <w:name w:val="footer"/>
    <w:basedOn w:val="Normal"/>
    <w:link w:val="PiedepginaCar"/>
    <w:uiPriority w:val="99"/>
    <w:unhideWhenUsed/>
    <w:rsid w:val="00DC05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Macaya Ramos</dc:creator>
  <cp:keywords/>
  <dc:description/>
  <cp:lastModifiedBy>Constanza Macaya Ramos</cp:lastModifiedBy>
  <cp:revision>2</cp:revision>
  <dcterms:created xsi:type="dcterms:W3CDTF">2026-08-24T20:07:00Z</dcterms:created>
  <dcterms:modified xsi:type="dcterms:W3CDTF">2026-08-24T20:22:00Z</dcterms:modified>
</cp:coreProperties>
</file>